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「燃ゆる感動かごしま国体」指宿市弁当調製施設選定基準</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　趣旨</w:t>
      </w:r>
    </w:p>
    <w:p>
      <w:pPr>
        <w:pStyle w:val="0"/>
        <w:autoSpaceDN w:val="0"/>
        <w:ind w:left="283" w:leftChars="135"/>
        <w:rPr>
          <w:rFonts w:hint="default" w:asciiTheme="minorEastAsia" w:hAnsiTheme="minorEastAsia"/>
          <w:sz w:val="24"/>
        </w:rPr>
      </w:pPr>
      <w:r>
        <w:rPr>
          <w:rFonts w:hint="eastAsia" w:asciiTheme="majorEastAsia" w:hAnsiTheme="majorEastAsia" w:eastAsiaTheme="majorEastAsia"/>
          <w:sz w:val="24"/>
        </w:rPr>
        <w:t>　</w:t>
      </w:r>
      <w:r>
        <w:rPr>
          <w:rFonts w:hint="eastAsia" w:asciiTheme="minorEastAsia" w:hAnsiTheme="minorEastAsia"/>
          <w:sz w:val="24"/>
        </w:rPr>
        <w:t>この選定基準は，「燃ゆる感動かごしま国体」指宿市弁当調達要項に基づき，特別国民体育大会「燃ゆる感動かごしま国体」指宿市開催競技（以下「国体」という。）における弁当調製施設の選定について，万全を期すため必要な事項を定める。</w:t>
      </w:r>
    </w:p>
    <w:p>
      <w:pPr>
        <w:pStyle w:val="0"/>
        <w:ind w:left="283" w:leftChars="135" w:firstLine="1"/>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　国民体育大会に対しての理解</w:t>
      </w:r>
    </w:p>
    <w:p>
      <w:pPr>
        <w:pStyle w:val="0"/>
        <w:rPr>
          <w:rFonts w:hint="default" w:ascii="ＭＳ 明朝" w:hAnsi="ＭＳ 明朝" w:eastAsia="ＭＳ 明朝"/>
          <w:sz w:val="24"/>
        </w:rPr>
      </w:pPr>
      <w:r>
        <w:rPr>
          <w:rFonts w:hint="eastAsia" w:asciiTheme="majorEastAsia" w:hAnsiTheme="majorEastAsia" w:eastAsiaTheme="majorEastAsia"/>
          <w:sz w:val="24"/>
        </w:rPr>
        <w:t>　　</w:t>
      </w:r>
      <w:r>
        <w:rPr>
          <w:rFonts w:hint="eastAsia" w:ascii="ＭＳ 明朝" w:hAnsi="ＭＳ 明朝" w:eastAsia="ＭＳ 明朝"/>
          <w:sz w:val="24"/>
        </w:rPr>
        <w:t>国体に理解があり，燃ゆる感動かごしま国体・かごしま大会指宿市実行委員会（以</w:t>
      </w:r>
    </w:p>
    <w:p>
      <w:pPr>
        <w:pStyle w:val="0"/>
        <w:ind w:firstLine="283" w:firstLineChars="118"/>
        <w:rPr>
          <w:rFonts w:hint="default" w:ascii="ＭＳ 明朝" w:hAnsi="ＭＳ 明朝" w:eastAsia="ＭＳ 明朝"/>
          <w:sz w:val="24"/>
        </w:rPr>
      </w:pPr>
      <w:r>
        <w:rPr>
          <w:rFonts w:hint="eastAsia" w:ascii="ＭＳ 明朝" w:hAnsi="ＭＳ 明朝" w:eastAsia="ＭＳ 明朝"/>
          <w:sz w:val="24"/>
        </w:rPr>
        <w:t>下「実行委員会」という。）が行う弁当調達業務に対して協力的であること。</w:t>
      </w:r>
    </w:p>
    <w:p>
      <w:pPr>
        <w:pStyle w:val="0"/>
        <w:ind w:firstLine="240" w:firstLineChars="100"/>
        <w:rPr>
          <w:rFonts w:hint="default" w:ascii="ＭＳ 明朝" w:hAnsi="ＭＳ 明朝" w:eastAsia="ＭＳ 明朝"/>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　対象施設</w:t>
      </w:r>
    </w:p>
    <w:p>
      <w:pPr>
        <w:pStyle w:val="0"/>
        <w:rPr>
          <w:rFonts w:hint="default" w:asciiTheme="minorEastAsia" w:hAnsiTheme="minorEastAsia"/>
          <w:sz w:val="24"/>
        </w:rPr>
      </w:pPr>
      <w:r>
        <w:rPr>
          <w:rFonts w:hint="default" w:asciiTheme="majorEastAsia" w:hAnsiTheme="majorEastAsia" w:eastAsiaTheme="majorEastAsia"/>
          <w:sz w:val="24"/>
        </w:rPr>
        <w:t xml:space="preserve"> </w:t>
      </w:r>
      <w:r>
        <w:rPr>
          <w:rFonts w:hint="default" w:asciiTheme="minorEastAsia" w:hAnsiTheme="minorEastAsia"/>
          <w:sz w:val="24"/>
        </w:rPr>
        <w:t>(1)</w:t>
      </w:r>
      <w:r>
        <w:rPr>
          <w:rFonts w:hint="eastAsia" w:asciiTheme="minorEastAsia" w:hAnsiTheme="minorEastAsia"/>
          <w:sz w:val="24"/>
        </w:rPr>
        <w:t>　指宿市内に事業所所在地がある業者。ただし，実行委員会が必要と認めた場合</w:t>
      </w:r>
    </w:p>
    <w:p>
      <w:pPr>
        <w:pStyle w:val="0"/>
        <w:rPr>
          <w:rFonts w:hint="default" w:asciiTheme="minorEastAsia" w:hAnsiTheme="minorEastAsia"/>
          <w:sz w:val="24"/>
        </w:rPr>
      </w:pPr>
      <w:r>
        <w:rPr>
          <w:rFonts w:hint="eastAsia" w:asciiTheme="minorEastAsia" w:hAnsiTheme="minorEastAsia"/>
          <w:sz w:val="24"/>
        </w:rPr>
        <w:t>　　はこの限りではない。</w:t>
      </w:r>
    </w:p>
    <w:p>
      <w:pPr>
        <w:pStyle w:val="0"/>
        <w:rPr>
          <w:rFonts w:hint="default" w:asciiTheme="minorEastAsia" w:hAnsiTheme="minorEastAsia"/>
          <w:sz w:val="24"/>
        </w:rPr>
      </w:pPr>
      <w:r>
        <w:rPr>
          <w:rFonts w:hint="eastAsia" w:asciiTheme="minorEastAsia" w:hAnsiTheme="minorEastAsia"/>
          <w:sz w:val="24"/>
        </w:rPr>
        <w:t xml:space="preserve"> </w:t>
      </w:r>
      <w:r>
        <w:rPr>
          <w:rFonts w:hint="default" w:asciiTheme="minorEastAsia" w:hAnsiTheme="minorEastAsia"/>
          <w:sz w:val="24"/>
        </w:rPr>
        <w:t>(2)</w:t>
      </w:r>
      <w:r>
        <w:rPr>
          <w:rFonts w:hint="eastAsia" w:asciiTheme="minorEastAsia" w:hAnsiTheme="minorEastAsia"/>
          <w:sz w:val="24"/>
        </w:rPr>
        <w:t>　食品衛生法等の関係法令の規定による営業許可を受けている業者。</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　施設の衛生管理</w:t>
      </w:r>
    </w:p>
    <w:p>
      <w:pPr>
        <w:pStyle w:val="0"/>
        <w:autoSpaceDN w:val="0"/>
        <w:ind w:left="465" w:leftChars="50" w:hanging="360" w:hangingChars="150"/>
        <w:rPr>
          <w:rFonts w:hint="default" w:asciiTheme="minorEastAsia" w:hAnsiTheme="minorEastAsia"/>
          <w:sz w:val="24"/>
          <w:u w:val="none" w:color="auto"/>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　</w:t>
      </w:r>
      <w:r>
        <w:rPr>
          <w:rFonts w:hint="eastAsia" w:asciiTheme="minorEastAsia" w:hAnsiTheme="minorEastAsia"/>
          <w:sz w:val="24"/>
          <w:u w:val="none" w:color="auto"/>
        </w:rPr>
        <w:t>食品衛生関係法令に基づき，ＨＡＣＣＰに沿った衛生管理に取り組むとともに，適切に施設管理，運営を行えること。</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　過去３年間に食中毒発生等により食品衛生法に基づく営業停止等の処分を受けていないこと。</w:t>
      </w:r>
    </w:p>
    <w:p>
      <w:pPr>
        <w:pStyle w:val="0"/>
        <w:ind w:left="465" w:leftChars="50" w:right="-2" w:hanging="360" w:hangingChars="150"/>
        <w:rPr>
          <w:rFonts w:hint="default" w:asciiTheme="minorEastAsia" w:hAnsiTheme="minorEastAsia"/>
          <w:sz w:val="24"/>
        </w:rPr>
      </w:pPr>
      <w:r>
        <w:rPr>
          <w:rFonts w:hint="default" w:asciiTheme="minorEastAsia" w:hAnsiTheme="minorEastAsia"/>
          <w:sz w:val="24"/>
        </w:rPr>
        <w:t>(3)</w:t>
      </w:r>
      <w:r>
        <w:rPr>
          <w:rFonts w:hint="eastAsia" w:asciiTheme="minorEastAsia" w:hAnsiTheme="minorEastAsia"/>
          <w:sz w:val="24"/>
        </w:rPr>
        <w:t>　検食は，完成した弁当とマジックで日付を書いた紙を清潔な容器（ビニール等）に密閉して１日分ずつ－</w:t>
      </w:r>
      <w:r>
        <w:rPr>
          <w:rFonts w:hint="eastAsia" w:asciiTheme="minorEastAsia" w:hAnsiTheme="minorEastAsia"/>
          <w:sz w:val="24"/>
        </w:rPr>
        <w:t>20</w:t>
      </w:r>
      <w:r>
        <w:rPr>
          <w:rFonts w:hint="eastAsia" w:asciiTheme="minorEastAsia" w:hAnsiTheme="minorEastAsia"/>
          <w:sz w:val="24"/>
        </w:rPr>
        <w:t>℃以下で２週間以上保存できること。</w:t>
      </w:r>
    </w:p>
    <w:p>
      <w:pPr>
        <w:pStyle w:val="0"/>
        <w:ind w:left="465" w:leftChars="50" w:hanging="360" w:hangingChars="150"/>
        <w:rPr>
          <w:rFonts w:hint="default" w:asciiTheme="minorEastAsia" w:hAnsiTheme="minorEastAsia"/>
          <w:sz w:val="24"/>
        </w:rPr>
      </w:pPr>
      <w:r>
        <w:rPr>
          <w:rFonts w:hint="default" w:asciiTheme="minorEastAsia" w:hAnsiTheme="minorEastAsia"/>
          <w:sz w:val="24"/>
        </w:rPr>
        <w:t>(4)</w:t>
      </w:r>
      <w:r>
        <w:rPr>
          <w:rFonts w:hint="eastAsia" w:asciiTheme="minorEastAsia" w:hAnsiTheme="minorEastAsia"/>
          <w:sz w:val="24"/>
        </w:rPr>
        <w:t>　調理従事者（食品の盛り付け等，食品に接触する可能性のある者であって臨　　時職員を含む。）の全員に対し，国体開催前の１か月以内に検便検査（赤痢菌，サルモネラ属菌，腸管出血性大腸菌を含むもの。）を実施すること。</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なお，実行委員会から指示があった場合は，ノロウイルスの検査を別途行うこと。</w:t>
      </w:r>
    </w:p>
    <w:p>
      <w:pPr>
        <w:pStyle w:val="0"/>
        <w:ind w:firstLine="120" w:firstLineChars="50"/>
        <w:rPr>
          <w:rFonts w:hint="default" w:asciiTheme="minorEastAsia" w:hAnsiTheme="minorEastAsia"/>
          <w:sz w:val="24"/>
        </w:rPr>
      </w:pPr>
      <w:r>
        <w:rPr>
          <w:rFonts w:hint="default" w:asciiTheme="minorEastAsia" w:hAnsiTheme="minorEastAsia"/>
          <w:sz w:val="24"/>
        </w:rPr>
        <w:t>(5)</w:t>
      </w:r>
      <w:r>
        <w:rPr>
          <w:rFonts w:hint="eastAsia" w:asciiTheme="minorEastAsia" w:hAnsiTheme="minorEastAsia"/>
          <w:sz w:val="24"/>
        </w:rPr>
        <w:t>　食品賠償保険等に加入していること。</w:t>
      </w:r>
    </w:p>
    <w:p>
      <w:pPr>
        <w:pStyle w:val="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6</w:t>
      </w:r>
      <w:r>
        <w:rPr>
          <w:rFonts w:hint="default" w:asciiTheme="minorEastAsia" w:hAnsiTheme="minorEastAsia"/>
          <w:sz w:val="24"/>
        </w:rPr>
        <w:t>)</w:t>
      </w:r>
      <w:r>
        <w:rPr>
          <w:rFonts w:hint="eastAsia" w:asciiTheme="minorEastAsia" w:hAnsiTheme="minorEastAsia"/>
          <w:sz w:val="24"/>
        </w:rPr>
        <w:t>　実行委員会が指定した時刻及び場所に，衛生的に配達できること。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7)</w:t>
      </w:r>
      <w:r>
        <w:rPr>
          <w:rFonts w:hint="eastAsia" w:asciiTheme="minorEastAsia" w:hAnsiTheme="minorEastAsia"/>
          <w:sz w:val="24"/>
        </w:rPr>
        <w:t>　弁当容器に以下の項目をラベルシート等で表示できること。</w:t>
      </w:r>
    </w:p>
    <w:p>
      <w:pPr>
        <w:pStyle w:val="0"/>
        <w:ind w:firstLine="240" w:firstLineChars="100"/>
        <w:rPr>
          <w:rFonts w:hint="default" w:asciiTheme="minorEastAsia" w:hAnsiTheme="minorEastAsia"/>
          <w:sz w:val="24"/>
        </w:rPr>
      </w:pPr>
      <w:r>
        <w:rPr>
          <w:rFonts w:hint="eastAsia" w:asciiTheme="minorEastAsia" w:hAnsiTheme="minorEastAsia"/>
          <w:sz w:val="24"/>
        </w:rPr>
        <w:t>　ア　弁当の名称</w:t>
      </w:r>
    </w:p>
    <w:p>
      <w:pPr>
        <w:pStyle w:val="0"/>
        <w:ind w:firstLine="240" w:firstLineChars="100"/>
        <w:rPr>
          <w:rFonts w:hint="default" w:asciiTheme="minorEastAsia" w:hAnsiTheme="minorEastAsia"/>
          <w:sz w:val="24"/>
        </w:rPr>
      </w:pPr>
      <w:r>
        <w:rPr>
          <w:rFonts w:hint="eastAsia" w:asciiTheme="minorEastAsia" w:hAnsiTheme="minorEastAsia"/>
          <w:sz w:val="24"/>
        </w:rPr>
        <w:t>　イ　原材料名（アレルゲン，原料米の産地等の表示を含む。）</w:t>
      </w:r>
    </w:p>
    <w:p>
      <w:pPr>
        <w:pStyle w:val="0"/>
        <w:ind w:firstLine="240" w:firstLineChars="100"/>
        <w:rPr>
          <w:rFonts w:hint="default" w:asciiTheme="minorEastAsia" w:hAnsiTheme="minorEastAsia"/>
          <w:sz w:val="24"/>
        </w:rPr>
      </w:pPr>
      <w:r>
        <w:rPr>
          <w:rFonts w:hint="eastAsia" w:asciiTheme="minorEastAsia" w:hAnsiTheme="minorEastAsia"/>
          <w:sz w:val="24"/>
        </w:rPr>
        <w:t>　ウ　食品添加物</w:t>
      </w:r>
    </w:p>
    <w:p>
      <w:pPr>
        <w:pStyle w:val="0"/>
        <w:ind w:firstLine="240" w:firstLineChars="100"/>
        <w:rPr>
          <w:rFonts w:hint="default" w:asciiTheme="minorEastAsia" w:hAnsiTheme="minorEastAsia"/>
          <w:sz w:val="24"/>
        </w:rPr>
      </w:pPr>
      <w:r>
        <w:rPr>
          <w:rFonts w:hint="eastAsia" w:asciiTheme="minorEastAsia" w:hAnsiTheme="minorEastAsia"/>
          <w:sz w:val="24"/>
        </w:rPr>
        <w:t>　エ　消費期限（時刻まで表示）</w:t>
      </w:r>
    </w:p>
    <w:p>
      <w:pPr>
        <w:pStyle w:val="0"/>
        <w:ind w:firstLine="240" w:firstLineChars="100"/>
        <w:rPr>
          <w:rFonts w:hint="default" w:asciiTheme="minorEastAsia" w:hAnsiTheme="minorEastAsia"/>
          <w:sz w:val="24"/>
        </w:rPr>
      </w:pPr>
      <w:r>
        <w:rPr>
          <w:rFonts w:hint="eastAsia" w:asciiTheme="minorEastAsia" w:hAnsiTheme="minorEastAsia"/>
          <w:sz w:val="24"/>
        </w:rPr>
        <w:t>　オ　保存方法</w:t>
      </w:r>
    </w:p>
    <w:p>
      <w:pPr>
        <w:pStyle w:val="0"/>
        <w:ind w:firstLine="240" w:firstLineChars="100"/>
        <w:rPr>
          <w:rFonts w:hint="default" w:asciiTheme="minorEastAsia" w:hAnsiTheme="minorEastAsia"/>
          <w:sz w:val="24"/>
        </w:rPr>
      </w:pPr>
      <w:r>
        <w:rPr>
          <w:rFonts w:hint="eastAsia" w:asciiTheme="minorEastAsia" w:hAnsiTheme="minorEastAsia"/>
          <w:sz w:val="24"/>
        </w:rPr>
        <w:t>　カ　製造所所在地・製造者名</w:t>
      </w:r>
    </w:p>
    <w:p>
      <w:pPr>
        <w:pStyle w:val="0"/>
        <w:ind w:firstLine="240" w:firstLineChars="100"/>
        <w:rPr>
          <w:rFonts w:hint="default" w:asciiTheme="minorEastAsia" w:hAnsiTheme="minorEastAsia"/>
          <w:sz w:val="24"/>
        </w:rPr>
      </w:pPr>
      <w:r>
        <w:rPr>
          <w:rFonts w:hint="eastAsia" w:asciiTheme="minorEastAsia" w:hAnsiTheme="minorEastAsia"/>
          <w:sz w:val="24"/>
        </w:rPr>
        <w:t>　キ　その他食品表示法等関係法規により規定される表示</w:t>
      </w:r>
    </w:p>
    <w:p>
      <w:pPr>
        <w:pStyle w:val="0"/>
        <w:ind w:firstLine="240" w:firstLineChars="100"/>
        <w:rPr>
          <w:rFonts w:hint="default" w:asciiTheme="minorEastAsia" w:hAnsiTheme="minorEastAsia"/>
          <w:sz w:val="24"/>
        </w:rPr>
      </w:pPr>
      <w:r>
        <w:rPr>
          <w:rFonts w:hint="eastAsia" w:asciiTheme="minorEastAsia" w:hAnsiTheme="minorEastAsia"/>
          <w:sz w:val="24"/>
        </w:rPr>
        <w:t>　ク　その他実行委員会が指示する表示</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　施設の調製能力</w:t>
      </w:r>
    </w:p>
    <w:p>
      <w:pPr>
        <w:pStyle w:val="0"/>
        <w:autoSpaceDN w:val="0"/>
        <w:ind w:firstLine="120" w:firstLineChars="50"/>
        <w:rPr>
          <w:rFonts w:hint="default" w:asciiTheme="minorEastAsia" w:hAnsiTheme="minorEastAsia"/>
          <w:sz w:val="24"/>
          <w:u w:val="single" w:color="auto"/>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　国体期間中の提供可能数が，１日当たり</w:t>
      </w:r>
      <w:r>
        <w:rPr>
          <w:rFonts w:hint="eastAsia" w:asciiTheme="minorEastAsia" w:hAnsiTheme="minorEastAsia"/>
          <w:sz w:val="24"/>
        </w:rPr>
        <w:t>100</w:t>
      </w:r>
      <w:r>
        <w:rPr>
          <w:rFonts w:hint="eastAsia" w:asciiTheme="minorEastAsia" w:hAnsiTheme="minorEastAsia"/>
          <w:sz w:val="24"/>
        </w:rPr>
        <w:t>食以上の日があること。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　第三者に委託することなく弁当の調製が可能であること。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　メニューの日替わりが可能であること。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4)</w:t>
      </w:r>
      <w:r>
        <w:rPr>
          <w:rFonts w:hint="eastAsia" w:asciiTheme="minorEastAsia" w:hAnsiTheme="minorEastAsia"/>
          <w:sz w:val="24"/>
        </w:rPr>
        <w:t>　栄養バランス・カロリー等に配慮したメニューでの提供が可能であること。</w:t>
      </w:r>
    </w:p>
    <w:p>
      <w:pPr>
        <w:pStyle w:val="0"/>
        <w:ind w:firstLine="600" w:firstLineChars="25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６　施設の対応能力</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　単価に応じた弁当の調製が可能であり，実行委員会が指定する容器・包装紙等</w:t>
      </w:r>
    </w:p>
    <w:p>
      <w:pPr>
        <w:pStyle w:val="0"/>
        <w:ind w:firstLine="480" w:firstLineChars="200"/>
        <w:rPr>
          <w:rFonts w:hint="default" w:asciiTheme="minorEastAsia" w:hAnsiTheme="minorEastAsia"/>
          <w:sz w:val="24"/>
        </w:rPr>
      </w:pPr>
      <w:r>
        <w:rPr>
          <w:rFonts w:hint="eastAsia" w:asciiTheme="minorEastAsia" w:hAnsiTheme="minorEastAsia"/>
          <w:sz w:val="24"/>
        </w:rPr>
        <w:t>での提供が可能であること。</w:t>
      </w:r>
    </w:p>
    <w:p>
      <w:pPr>
        <w:pStyle w:val="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弁当の付属品として，お茶，割り箸，つま楊枝，お手拭き，持ち運び用ビニー</w:t>
      </w:r>
    </w:p>
    <w:p>
      <w:pPr>
        <w:pStyle w:val="0"/>
        <w:ind w:firstLine="480" w:firstLineChars="200"/>
        <w:rPr>
          <w:rFonts w:hint="default" w:asciiTheme="minorEastAsia" w:hAnsiTheme="minorEastAsia"/>
          <w:sz w:val="24"/>
        </w:rPr>
      </w:pPr>
      <w:r>
        <w:rPr>
          <w:rFonts w:hint="eastAsia" w:asciiTheme="minorEastAsia" w:hAnsiTheme="minorEastAsia"/>
          <w:sz w:val="24"/>
        </w:rPr>
        <w:t>ル袋の提供が可能であること。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　弁当は保冷効果が持続し，かつ運搬が容易で清潔なダンボール箱等に梱包して</w:t>
      </w:r>
    </w:p>
    <w:p>
      <w:pPr>
        <w:pStyle w:val="0"/>
        <w:ind w:firstLine="480" w:firstLineChars="200"/>
        <w:rPr>
          <w:rFonts w:hint="default" w:asciiTheme="minorEastAsia" w:hAnsiTheme="minorEastAsia"/>
          <w:sz w:val="24"/>
        </w:rPr>
      </w:pPr>
      <w:r>
        <w:rPr>
          <w:rFonts w:hint="eastAsia" w:asciiTheme="minorEastAsia" w:hAnsiTheme="minorEastAsia"/>
          <w:sz w:val="24"/>
        </w:rPr>
        <w:t>納入できること。　</w:t>
      </w:r>
      <w:r>
        <w:rPr>
          <w:rFonts w:hint="default" w:asciiTheme="minorEastAsia" w:hAnsiTheme="minorEastAsia"/>
          <w:sz w:val="24"/>
        </w:rPr>
        <w:t xml:space="preserve"> </w:t>
      </w:r>
    </w:p>
    <w:p>
      <w:pPr>
        <w:pStyle w:val="0"/>
        <w:autoSpaceDN w:val="0"/>
        <w:ind w:firstLine="120" w:firstLineChars="50"/>
        <w:rPr>
          <w:rFonts w:hint="default" w:asciiTheme="minorEastAsia" w:hAnsiTheme="minorEastAsia"/>
          <w:sz w:val="24"/>
        </w:rPr>
      </w:pPr>
      <w:r>
        <w:rPr>
          <w:rFonts w:hint="default" w:asciiTheme="minorEastAsia" w:hAnsiTheme="minorEastAsia"/>
          <w:sz w:val="24"/>
        </w:rPr>
        <w:t>(4)</w:t>
      </w:r>
      <w:r>
        <w:rPr>
          <w:rFonts w:hint="eastAsia" w:asciiTheme="minorEastAsia" w:hAnsiTheme="minorEastAsia"/>
          <w:sz w:val="24"/>
        </w:rPr>
        <w:t>　前日午後６時までの発注で，翌日午前</w:t>
      </w:r>
      <w:r>
        <w:rPr>
          <w:rFonts w:hint="eastAsia" w:asciiTheme="minorEastAsia" w:hAnsiTheme="minorEastAsia"/>
          <w:sz w:val="24"/>
        </w:rPr>
        <w:t>10</w:t>
      </w:r>
      <w:r>
        <w:rPr>
          <w:rFonts w:hint="eastAsia" w:asciiTheme="minorEastAsia" w:hAnsiTheme="minorEastAsia"/>
          <w:sz w:val="24"/>
        </w:rPr>
        <w:t>時</w:t>
      </w:r>
      <w:r>
        <w:rPr>
          <w:rFonts w:hint="eastAsia" w:asciiTheme="minorEastAsia" w:hAnsiTheme="minorEastAsia"/>
          <w:sz w:val="24"/>
        </w:rPr>
        <w:t>30</w:t>
      </w:r>
      <w:r>
        <w:rPr>
          <w:rFonts w:hint="eastAsia" w:asciiTheme="minorEastAsia" w:hAnsiTheme="minorEastAsia"/>
          <w:sz w:val="24"/>
        </w:rPr>
        <w:t>分までの納入が可能であること。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5)</w:t>
      </w:r>
      <w:r>
        <w:rPr>
          <w:rFonts w:hint="eastAsia" w:asciiTheme="minorEastAsia" w:hAnsiTheme="minorEastAsia"/>
          <w:sz w:val="24"/>
        </w:rPr>
        <w:t>　配達同日に弁当容器等を回収できること。</w:t>
      </w:r>
    </w:p>
    <w:p>
      <w:pPr>
        <w:pStyle w:val="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6</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サンプル調査を行うためのサンプルを実行委員会の指示に基づき提供し，当該</w:t>
      </w:r>
    </w:p>
    <w:p>
      <w:pPr>
        <w:pStyle w:val="0"/>
        <w:ind w:firstLine="480" w:firstLineChars="200"/>
        <w:rPr>
          <w:rFonts w:hint="default" w:asciiTheme="minorEastAsia" w:hAnsiTheme="minorEastAsia"/>
          <w:sz w:val="24"/>
        </w:rPr>
      </w:pPr>
      <w:r>
        <w:rPr>
          <w:rFonts w:hint="eastAsia" w:asciiTheme="minorEastAsia" w:hAnsiTheme="minorEastAsia"/>
          <w:sz w:val="24"/>
        </w:rPr>
        <w:t>調査において指摘されたことを改善することが可能であること。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7)</w:t>
      </w:r>
      <w:r>
        <w:rPr>
          <w:rFonts w:hint="eastAsia" w:asciiTheme="minorEastAsia" w:hAnsiTheme="minorEastAsia"/>
          <w:sz w:val="24"/>
        </w:rPr>
        <w:t>　荒天等により，競技開催に中止等の変更があった場合，弁当の調製及び納入に</w:t>
      </w:r>
    </w:p>
    <w:p>
      <w:pPr>
        <w:pStyle w:val="0"/>
        <w:ind w:firstLine="480" w:firstLineChars="200"/>
        <w:rPr>
          <w:rFonts w:hint="default" w:asciiTheme="minorEastAsia" w:hAnsiTheme="minorEastAsia"/>
          <w:sz w:val="24"/>
        </w:rPr>
      </w:pPr>
      <w:r>
        <w:rPr>
          <w:rFonts w:hint="eastAsia" w:asciiTheme="minorEastAsia" w:hAnsiTheme="minorEastAsia"/>
          <w:sz w:val="24"/>
        </w:rPr>
        <w:t>ついては実行委員会の指示に基づく対応が可能であること。</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７　その他</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　原則として３年以上の営業実績があること。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　食品に関する法律諸規定が遵守されていること。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　納税義務が履行されていること。</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4</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上・下水道等の使用料の滞納がないこと。</w:t>
      </w:r>
    </w:p>
    <w:p>
      <w:pPr>
        <w:pStyle w:val="0"/>
        <w:rPr>
          <w:rFonts w:hint="default" w:asciiTheme="minorEastAsia" w:hAnsiTheme="minorEastAsia"/>
          <w:sz w:val="24"/>
        </w:rPr>
      </w:pPr>
    </w:p>
    <w:sectPr>
      <w:headerReference r:id="rId5" w:type="default"/>
      <w:pgSz w:w="11906" w:h="16838"/>
      <w:pgMar w:top="1418" w:right="1418" w:bottom="1418" w:left="1418" w:header="567" w:footer="284" w:gutter="0"/>
      <w:pgNumType w:start="2"/>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sz w:val="32"/>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759</TotalTime>
  <Pages>2</Pages>
  <Words>28</Words>
  <Characters>1395</Characters>
  <Application>JUST Note</Application>
  <Lines>65</Lines>
  <Paragraphs>50</Paragraphs>
  <CharactersWithSpaces>1458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中塚正洋</dc:creator>
  <cp:lastModifiedBy>指宿市役所</cp:lastModifiedBy>
  <cp:lastPrinted>2022-10-14T08:09:32Z</cp:lastPrinted>
  <dcterms:created xsi:type="dcterms:W3CDTF">2014-06-10T06:31:00Z</dcterms:created>
  <dcterms:modified xsi:type="dcterms:W3CDTF">2022-10-13T07:23:41Z</dcterms:modified>
  <cp:revision>91</cp:revision>
</cp:coreProperties>
</file>