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様式第２－①－</w:t>
      </w:r>
      <w:r>
        <w:rPr>
          <w:rFonts w:hint="eastAsia" w:ascii="ＭＳ ゴシック" w:hAnsi="ＭＳ ゴシック" w:eastAsia="ＭＳ ゴシック"/>
          <w:color w:val="000000"/>
          <w:spacing w:val="16"/>
          <w:kern w:val="0"/>
        </w:rPr>
        <w:t>ロ</w:t>
      </w:r>
    </w:p>
    <w:tbl>
      <w:tblPr>
        <w:tblStyle w:val="11"/>
        <w:tblW w:w="8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557"/>
      </w:tblGrid>
      <w:tr>
        <w:trPr/>
        <w:tc>
          <w:tcPr>
            <w:tcW w:w="85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中小企業信用保険法第２条第５項第２号ロの規定による認定申請書（①－ロ）</w:t>
            </w:r>
          </w:p>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指宿市長　打越　明司　　　　殿</w:t>
            </w:r>
          </w:p>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が、　　　年　月　日から</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を行ってい</w:t>
            </w:r>
            <w:r>
              <w:rPr>
                <w:rFonts w:hint="eastAsia" w:ascii="ＭＳ ゴシック" w:hAnsi="ＭＳ ゴシック" w:eastAsia="ＭＳ ゴシック"/>
                <w:color w:val="000000"/>
                <w:spacing w:val="16"/>
                <w:kern w:val="0"/>
              </w:rPr>
              <w:t>る</w:t>
            </w:r>
            <w:r>
              <w:rPr>
                <w:rFonts w:hint="eastAsia" w:ascii="ＭＳ ゴシック" w:hAnsi="ＭＳ ゴシック" w:eastAsia="ＭＳ ゴシック"/>
                <w:color w:val="000000"/>
                <w:kern w:val="0"/>
              </w:rPr>
              <w:t>ことにより、下記のとおり同事業者との間接的な取引の連鎖関係について売上高等の減少が生じているため、経営の安定に支障が生じておりますので、中小企業信用保険法第２条第５項第２号ロ</w:t>
            </w:r>
            <w:bookmarkStart w:id="0" w:name="_GoBack"/>
            <w:bookmarkEnd w:id="0"/>
            <w:r>
              <w:rPr>
                <w:rFonts w:hint="eastAsia" w:ascii="ＭＳ ゴシック" w:hAnsi="ＭＳ ゴシック" w:eastAsia="ＭＳ ゴシック"/>
                <w:color w:val="000000"/>
                <w:kern w:val="0"/>
              </w:rPr>
              <w:t>の規定に基づき認定されるようお願いします。</w:t>
            </w:r>
          </w:p>
          <w:p>
            <w:pPr>
              <w:pStyle w:val="0"/>
              <w:suppressAutoHyphens w:val="1"/>
              <w:kinsoku w:val="0"/>
              <w:wordWrap w:val="0"/>
              <w:overflowPunct w:val="0"/>
              <w:autoSpaceDE w:val="0"/>
              <w:autoSpaceDN w:val="0"/>
              <w:adjustRightInd w:val="0"/>
              <w:spacing w:line="246"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after="180" w:afterLines="50" w:afterAutospacing="0" w:line="24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wordWrap w:val="0"/>
              <w:overflowPunct w:val="0"/>
              <w:autoSpaceDE w:val="0"/>
              <w:autoSpaceDN w:val="0"/>
              <w:adjustRightInd w:val="0"/>
              <w:spacing w:after="180" w:afterLines="50" w:afterAutospacing="0" w:line="274"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に対する取引依存度</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％（Ａ／Ｂ）</w:t>
            </w:r>
          </w:p>
          <w:p>
            <w:pPr>
              <w:pStyle w:val="0"/>
              <w:suppressAutoHyphens w:val="1"/>
              <w:kinsoku w:val="0"/>
              <w:wordWrap w:val="0"/>
              <w:overflowPunct w:val="0"/>
              <w:autoSpaceDE w:val="0"/>
              <w:autoSpaceDN w:val="0"/>
              <w:adjustRightInd w:val="0"/>
              <w:spacing w:after="180" w:afterLines="50" w:afterAutospacing="0" w:line="274"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年</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月</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日から　　年　　月　　日までの</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w:t>
            </w:r>
          </w:p>
          <w:p>
            <w:pPr>
              <w:pStyle w:val="0"/>
              <w:suppressAutoHyphens w:val="1"/>
              <w:kinsoku w:val="0"/>
              <w:wordWrap w:val="0"/>
              <w:overflowPunct w:val="0"/>
              <w:autoSpaceDE w:val="0"/>
              <w:autoSpaceDN w:val="0"/>
              <w:adjustRightInd w:val="0"/>
              <w:spacing w:after="180" w:afterLines="50" w:afterAutospacing="0" w:line="274"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対する取引額等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上記期間中の全取引額等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３</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売上高等</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Ｄ－Ｃ</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Ｃ：事業活動の制限を受けた後最近１か月間の売上高等</w:t>
            </w:r>
          </w:p>
          <w:p>
            <w:pPr>
              <w:pStyle w:val="0"/>
              <w:suppressAutoHyphens w:val="1"/>
              <w:kinsoku w:val="0"/>
              <w:wordWrap w:val="0"/>
              <w:overflowPunct w:val="0"/>
              <w:autoSpaceDE w:val="0"/>
              <w:autoSpaceDN w:val="0"/>
              <w:adjustRightInd w:val="0"/>
              <w:spacing w:before="180" w:beforeLines="50" w:beforeAutospacing="0" w:line="20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　　　年　　　月）</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Ｄ：Ｃの期間に対応する前年１か月間の売上高等</w:t>
            </w:r>
          </w:p>
          <w:p>
            <w:pPr>
              <w:pStyle w:val="0"/>
              <w:suppressAutoHyphens w:val="1"/>
              <w:kinsoku w:val="0"/>
              <w:wordWrap w:val="0"/>
              <w:overflowPunct w:val="0"/>
              <w:autoSpaceDE w:val="0"/>
              <w:autoSpaceDN w:val="0"/>
              <w:adjustRightInd w:val="0"/>
              <w:spacing w:before="180" w:beforeLines="50" w:beforeAutospacing="0" w:line="20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年</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月）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before="180" w:beforeLines="50" w:beforeAutospacing="0" w:line="20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（ロ）（イ）の期間も含めた今後３か月間の売上高等</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（Ｄ＋Ｆ）－（Ｃ＋Ｅ）</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Ｅ：Ｃの期間後２か月間の見込み売上高等</w:t>
            </w:r>
          </w:p>
          <w:p>
            <w:pPr>
              <w:pStyle w:val="0"/>
              <w:suppressAutoHyphens w:val="1"/>
              <w:kinsoku w:val="0"/>
              <w:wordWrap w:val="0"/>
              <w:overflowPunct w:val="0"/>
              <w:autoSpaceDE w:val="0"/>
              <w:autoSpaceDN w:val="0"/>
              <w:adjustRightInd w:val="0"/>
              <w:spacing w:line="274"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　　　年　　　月）</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74"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Ｆ：Ｅの期間に対応する前年の２か月間の売上高等</w:t>
            </w:r>
          </w:p>
          <w:p>
            <w:pPr>
              <w:pStyle w:val="0"/>
              <w:suppressAutoHyphens w:val="1"/>
              <w:kinsoku w:val="0"/>
              <w:wordWrap w:val="0"/>
              <w:overflowPunct w:val="0"/>
              <w:autoSpaceDE w:val="0"/>
              <w:autoSpaceDN w:val="0"/>
              <w:adjustRightInd w:val="0"/>
              <w:spacing w:line="274"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　　　年　　　月）</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74" w:lineRule="exact"/>
              <w:jc w:val="left"/>
              <w:textAlignment w:val="baseline"/>
              <w:rPr>
                <w:rFonts w:hint="default" w:ascii="ＭＳ ゴシック" w:hAnsi="ＭＳ ゴシック" w:eastAsia="ＭＳ ゴシック"/>
                <w:color w:val="000000"/>
                <w:spacing w:val="16"/>
                <w:kern w:val="0"/>
              </w:rPr>
            </w:pPr>
          </w:p>
        </w:tc>
      </w:tr>
    </w:tbl>
    <w:p>
      <w:pPr>
        <w:pStyle w:val="0"/>
        <w:overflowPunct w:val="0"/>
        <w:textAlignment w:val="baseline"/>
        <w:rPr>
          <w:rFonts w:hint="default" w:ascii="ＭＳ ゴシック" w:hAnsi="ＭＳ ゴシック" w:eastAsia="ＭＳ ゴシック"/>
          <w:kern w:val="0"/>
        </w:rPr>
      </w:pPr>
      <w:r>
        <w:rPr>
          <w:rFonts w:hint="eastAsia" w:asciiTheme="majorEastAsia" w:hAnsiTheme="majorEastAsia" w:eastAsiaTheme="majorEastAsia"/>
        </w:rPr>
        <w:t>指</w:t>
      </w:r>
      <w:r>
        <w:rPr>
          <w:rFonts w:hint="eastAsia" w:ascii="ＭＳ ゴシック" w:hAnsi="ＭＳ ゴシック" w:eastAsia="ＭＳ ゴシック"/>
          <w:kern w:val="0"/>
        </w:rPr>
        <w:t>指産商第　　　　　号</w:t>
      </w:r>
    </w:p>
    <w:p>
      <w:pPr>
        <w:pStyle w:val="0"/>
        <w:overflowPunct w:val="0"/>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　令和　　　年　　　月　　　日</w:t>
      </w:r>
    </w:p>
    <w:p>
      <w:pPr>
        <w:pStyle w:val="0"/>
        <w:overflowPunct w:val="0"/>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　　申請のとおり、相違ないことを認定します。　</w:t>
      </w:r>
    </w:p>
    <w:p>
      <w:pPr>
        <w:pStyle w:val="0"/>
        <w:overflowPunct w:val="0"/>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　　</w:t>
      </w:r>
      <w:r>
        <w:rPr>
          <w:rFonts w:hint="eastAsia" w:ascii="ＭＳ ゴシック" w:hAnsi="ＭＳ ゴシック" w:eastAsia="ＭＳ ゴシック"/>
          <w:kern w:val="0"/>
        </w:rPr>
        <w:t>(</w:t>
      </w:r>
      <w:r>
        <w:rPr>
          <w:rFonts w:hint="eastAsia" w:ascii="ＭＳ ゴシック" w:hAnsi="ＭＳ ゴシック" w:eastAsia="ＭＳ ゴシック"/>
          <w:kern w:val="0"/>
        </w:rPr>
        <w:t>注</w:t>
      </w:r>
      <w:r>
        <w:rPr>
          <w:rFonts w:hint="eastAsia" w:ascii="ＭＳ ゴシック" w:hAnsi="ＭＳ ゴシック" w:eastAsia="ＭＳ ゴシック"/>
          <w:kern w:val="0"/>
        </w:rPr>
        <w:t>)</w:t>
      </w:r>
      <w:r>
        <w:rPr>
          <w:rFonts w:hint="eastAsia" w:ascii="ＭＳ ゴシック" w:hAnsi="ＭＳ ゴシック" w:eastAsia="ＭＳ ゴシック"/>
          <w:kern w:val="0"/>
        </w:rPr>
        <w:t>信用保証協会への申込期間</w:t>
      </w:r>
    </w:p>
    <w:p>
      <w:pPr>
        <w:pStyle w:val="0"/>
        <w:overflowPunct w:val="0"/>
        <w:ind w:firstLine="1260" w:firstLineChars="600"/>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令和　　年　　月　　日から令和　　年　　月　　日まで</w:t>
      </w:r>
    </w:p>
    <w:p>
      <w:pPr>
        <w:pStyle w:val="0"/>
        <w:overflowPunct w:val="0"/>
        <w:spacing w:line="100" w:lineRule="exact"/>
        <w:textAlignment w:val="baseline"/>
        <w:rPr>
          <w:rFonts w:hint="default" w:ascii="ＭＳ ゴシック" w:hAnsi="ＭＳ ゴシック" w:eastAsia="ＭＳ ゴシック"/>
          <w:kern w:val="0"/>
        </w:rPr>
      </w:pPr>
    </w:p>
    <w:p>
      <w:pPr>
        <w:pStyle w:val="0"/>
        <w:overflowPunct w:val="0"/>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　　　　　　　　　　　　　　　　認定者名　　指宿市長　　</w:t>
      </w:r>
      <w:r>
        <w:rPr>
          <w:rFonts w:hint="eastAsia" w:ascii="ＭＳ ゴシック" w:hAnsi="ＭＳ ゴシック" w:eastAsia="ＭＳ ゴシック"/>
          <w:color w:val="000000"/>
          <w:kern w:val="0"/>
        </w:rPr>
        <w:t>打越　明司</w:t>
      </w:r>
      <w:r>
        <w:rPr>
          <w:rFonts w:hint="eastAsia" w:ascii="ＭＳ ゴシック" w:hAnsi="ＭＳ ゴシック" w:eastAsia="ＭＳ ゴシック"/>
          <w:kern w:val="0"/>
        </w:rPr>
        <w:t>　　　　印</w:t>
      </w:r>
    </w:p>
    <w:p>
      <w:pPr>
        <w:pStyle w:val="0"/>
        <w:widowControl w:val="1"/>
        <w:jc w:val="left"/>
        <w:rPr>
          <w:rFonts w:hint="eastAsia" w:asciiTheme="majorEastAsia" w:hAnsiTheme="majorEastAsia" w:eastAsiaTheme="majorEastAsia"/>
          <w:kern w:val="0"/>
          <w:sz w:val="24"/>
        </w:rPr>
      </w:pPr>
    </w:p>
    <w:p>
      <w:pPr>
        <w:pStyle w:val="0"/>
        <w:suppressAutoHyphens w:val="1"/>
        <w:wordWrap w:val="0"/>
        <w:spacing w:line="246" w:lineRule="exact"/>
        <w:ind w:left="0" w:leftChars="0" w:hanging="726" w:hanging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none" w:color="auto"/>
        </w:rPr>
        <w:t>には、経済産業大臣が指定する事業活動の制限の内容に応じ、「店舗の閉鎖」等を入れる。</w:t>
      </w:r>
    </w:p>
    <w:p>
      <w:pPr>
        <w:pStyle w:val="0"/>
        <w:suppressAutoHyphens w:val="1"/>
        <w:wordWrap w:val="0"/>
        <w:spacing w:line="246"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6" w:lineRule="exact"/>
        <w:ind w:left="0" w:leftChars="0"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60" w:lineRule="exact"/>
        <w:ind w:left="0" w:leftChars="0" w:hanging="630" w:hangingChars="300"/>
        <w:jc w:val="left"/>
        <w:textAlignment w:val="baseline"/>
        <w:rPr>
          <w:rFonts w:hint="eastAsia" w:asciiTheme="majorEastAsia" w:hAnsiTheme="majorEastAsia" w:eastAsiaTheme="majorEastAsia"/>
          <w:kern w:val="0"/>
          <w:sz w:val="24"/>
        </w:rPr>
      </w:pPr>
      <w:r>
        <w:rPr>
          <w:rFonts w:hint="eastAsia" w:ascii="ＭＳ ゴシック" w:hAnsi="ＭＳ ゴシック" w:eastAsia="ＭＳ ゴシック"/>
          <w:color w:val="000000"/>
          <w:kern w:val="0"/>
        </w:rPr>
        <w:t>　　②　市町村長又は特別区長から認定を受けた日から３０日以内に金融機関又は信用保証協会に対して、保証の申込みを行うことが必要です。</w:t>
      </w:r>
    </w:p>
    <w:sectPr>
      <w:pgSz w:w="11906" w:h="16838"/>
      <w:pgMar w:top="850" w:right="1701" w:bottom="850" w:left="1701"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2</Pages>
  <Words>2</Words>
  <Characters>595</Characters>
  <Application>JUST Note</Application>
  <Lines>57</Lines>
  <Paragraphs>37</Paragraphs>
  <CharactersWithSpaces>1451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2023-12-07T02:34:41Z</cp:lastPrinted>
  <dcterms:created xsi:type="dcterms:W3CDTF">2019-04-24T00:40:00Z</dcterms:created>
  <dcterms:modified xsi:type="dcterms:W3CDTF">2024-12-02T05:20:59Z</dcterms:modified>
  <cp:revision>1</cp:revision>
</cp:coreProperties>
</file>